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5C" w:rsidRDefault="004B3B5C" w:rsidP="004B3B5C">
      <w:pPr>
        <w:rPr>
          <w:rFonts w:ascii="Times New Roman" w:hAnsi="Times New Roman" w:cs="Times New Roman"/>
        </w:rPr>
      </w:pPr>
      <w:r>
        <w:rPr>
          <w:rFonts w:ascii="Times New Roman" w:hAnsi="Times New Roman" w:cs="Times New Roman"/>
        </w:rPr>
        <w:t>Tere!</w:t>
      </w:r>
    </w:p>
    <w:p w:rsidR="004B3B5C" w:rsidRDefault="004B3B5C" w:rsidP="004B3B5C">
      <w:pPr>
        <w:rPr>
          <w:rFonts w:ascii="Times New Roman" w:hAnsi="Times New Roman" w:cs="Times New Roman"/>
        </w:rPr>
      </w:pPr>
    </w:p>
    <w:p w:rsidR="004B3B5C" w:rsidRDefault="004B3B5C" w:rsidP="004B3B5C">
      <w:pPr>
        <w:autoSpaceDE w:val="0"/>
        <w:autoSpaceDN w:val="0"/>
        <w:jc w:val="both"/>
        <w:rPr>
          <w:rFonts w:ascii="Times New Roman" w:hAnsi="Times New Roman" w:cs="Times New Roman"/>
        </w:rPr>
      </w:pPr>
      <w:r>
        <w:rPr>
          <w:rFonts w:ascii="Times New Roman" w:hAnsi="Times New Roman" w:cs="Times New Roman"/>
        </w:rPr>
        <w:t>Politsei- ja Piirivalveamet (edaspidi hankija) teeb Teile ettepaneku esitada pakkumus vastavalt hankija poolt esitatud tingimustele.</w:t>
      </w:r>
    </w:p>
    <w:p w:rsidR="004B3B5C" w:rsidRDefault="004B3B5C" w:rsidP="004B3B5C">
      <w:pPr>
        <w:jc w:val="both"/>
        <w:rPr>
          <w:rFonts w:ascii="Times New Roman" w:hAnsi="Times New Roman" w:cs="Times New Roman"/>
          <w:lang w:eastAsia="et-EE"/>
        </w:rPr>
      </w:pPr>
    </w:p>
    <w:p w:rsidR="004B3B5C" w:rsidRDefault="004B3B5C" w:rsidP="004B3B5C">
      <w:pPr>
        <w:ind w:firstLine="142"/>
        <w:jc w:val="both"/>
        <w:rPr>
          <w:rFonts w:ascii="Times New Roman" w:hAnsi="Times New Roman" w:cs="Times New Roman"/>
          <w:b/>
          <w:bCs/>
          <w:lang w:eastAsia="et-EE"/>
        </w:rPr>
      </w:pPr>
      <w:r>
        <w:rPr>
          <w:rFonts w:ascii="Times New Roman" w:hAnsi="Times New Roman" w:cs="Times New Roman"/>
          <w:b/>
          <w:bCs/>
          <w:lang w:eastAsia="et-EE"/>
        </w:rPr>
        <w:t xml:space="preserve">Üldtingimused </w:t>
      </w:r>
    </w:p>
    <w:p w:rsidR="004B3B5C" w:rsidRDefault="004B3B5C" w:rsidP="004B3B5C">
      <w:pPr>
        <w:numPr>
          <w:ilvl w:val="1"/>
          <w:numId w:val="1"/>
        </w:numPr>
        <w:autoSpaceDE w:val="0"/>
        <w:autoSpaceDN w:val="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Väikeostu nimetus: „</w:t>
      </w:r>
      <w:r>
        <w:rPr>
          <w:rFonts w:ascii="Times New Roman" w:eastAsia="Times New Roman" w:hAnsi="Times New Roman" w:cs="Times New Roman"/>
          <w:color w:val="000000"/>
          <w:lang w:eastAsia="et-EE"/>
        </w:rPr>
        <w:t>Õppuse tarbeks embleemide ostmine</w:t>
      </w:r>
      <w:r>
        <w:rPr>
          <w:rFonts w:ascii="Times New Roman" w:eastAsia="Times New Roman" w:hAnsi="Times New Roman" w:cs="Times New Roman"/>
          <w:color w:val="000000"/>
          <w:lang w:eastAsia="et-EE"/>
        </w:rPr>
        <w:t xml:space="preserve">“. </w:t>
      </w:r>
    </w:p>
    <w:p w:rsidR="004B3B5C" w:rsidRDefault="004B3B5C" w:rsidP="004B3B5C">
      <w:pPr>
        <w:numPr>
          <w:ilvl w:val="1"/>
          <w:numId w:val="1"/>
        </w:numPr>
        <w:autoSpaceDE w:val="0"/>
        <w:autoSpaceDN w:val="0"/>
        <w:ind w:left="709" w:hanging="563"/>
        <w:jc w:val="both"/>
        <w:rPr>
          <w:rFonts w:ascii="Times New Roman" w:hAnsi="Times New Roman" w:cs="Times New Roman"/>
          <w:color w:val="000000"/>
          <w:lang w:eastAsia="et-EE"/>
        </w:rPr>
      </w:pPr>
      <w:r>
        <w:rPr>
          <w:rFonts w:ascii="Times New Roman" w:hAnsi="Times New Roman" w:cs="Times New Roman"/>
          <w:color w:val="000000"/>
          <w:lang w:eastAsia="et-EE"/>
        </w:rPr>
        <w:t xml:space="preserve">Hankija kontaktisik: </w:t>
      </w:r>
      <w:r>
        <w:rPr>
          <w:rFonts w:ascii="Times New Roman" w:hAnsi="Times New Roman" w:cs="Times New Roman"/>
          <w:b/>
          <w:bCs/>
          <w:lang w:eastAsia="et-EE"/>
        </w:rPr>
        <w:t>Ilona Horn</w:t>
      </w:r>
      <w:r>
        <w:rPr>
          <w:rFonts w:ascii="Times New Roman" w:hAnsi="Times New Roman" w:cs="Times New Roman"/>
          <w:b/>
          <w:bCs/>
          <w:color w:val="000000"/>
          <w:lang w:eastAsia="et-EE"/>
        </w:rPr>
        <w:t xml:space="preserve"> ,</w:t>
      </w:r>
      <w:r>
        <w:rPr>
          <w:rFonts w:ascii="Times New Roman" w:hAnsi="Times New Roman" w:cs="Times New Roman"/>
          <w:color w:val="000000"/>
          <w:lang w:eastAsia="et-EE"/>
        </w:rPr>
        <w:t xml:space="preserve"> e-post: </w:t>
      </w:r>
      <w:hyperlink r:id="rId5" w:history="1">
        <w:r>
          <w:rPr>
            <w:rStyle w:val="Hyperlink"/>
            <w:rFonts w:ascii="Times New Roman" w:hAnsi="Times New Roman" w:cs="Times New Roman"/>
            <w:b/>
            <w:bCs/>
            <w:lang w:eastAsia="et-EE"/>
          </w:rPr>
          <w:t>ilona.horn@politsei.ee</w:t>
        </w:r>
      </w:hyperlink>
      <w:r>
        <w:rPr>
          <w:rFonts w:ascii="Times New Roman" w:hAnsi="Times New Roman" w:cs="Times New Roman"/>
        </w:rPr>
        <w:t xml:space="preserve"> </w:t>
      </w:r>
    </w:p>
    <w:p w:rsidR="004B3B5C" w:rsidRDefault="004B3B5C" w:rsidP="004B3B5C">
      <w:pPr>
        <w:numPr>
          <w:ilvl w:val="1"/>
          <w:numId w:val="1"/>
        </w:numPr>
        <w:ind w:left="709" w:hanging="563"/>
        <w:contextualSpacing/>
        <w:jc w:val="both"/>
        <w:rPr>
          <w:rFonts w:ascii="Times New Roman" w:hAnsi="Times New Roman" w:cs="Times New Roman"/>
          <w:color w:val="000000"/>
          <w:lang w:eastAsia="et-EE"/>
        </w:rPr>
      </w:pPr>
      <w:r>
        <w:rPr>
          <w:rFonts w:ascii="Times New Roman" w:hAnsi="Times New Roman" w:cs="Times New Roman"/>
          <w:color w:val="000000"/>
          <w:lang w:eastAsia="et-EE"/>
        </w:rPr>
        <w:t>Ettevõtjatel on õigus küsida väikeostu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w:t>
      </w:r>
      <w:r>
        <w:rPr>
          <w:rFonts w:ascii="Times New Roman" w:hAnsi="Times New Roman" w:cs="Times New Roman"/>
          <w:lang w:eastAsia="et-EE"/>
        </w:rPr>
        <w:t xml:space="preserve"> </w:t>
      </w:r>
    </w:p>
    <w:p w:rsidR="004B3B5C" w:rsidRDefault="004B3B5C" w:rsidP="004B3B5C">
      <w:pPr>
        <w:numPr>
          <w:ilvl w:val="1"/>
          <w:numId w:val="1"/>
        </w:numPr>
        <w:ind w:left="709" w:hanging="563"/>
        <w:contextualSpacing/>
        <w:jc w:val="both"/>
        <w:rPr>
          <w:rFonts w:ascii="Times New Roman" w:hAnsi="Times New Roman" w:cs="Times New Roman"/>
          <w:color w:val="000000"/>
          <w:lang w:eastAsia="et-EE"/>
        </w:rPr>
      </w:pPr>
      <w:r>
        <w:rPr>
          <w:rFonts w:ascii="Times New Roman" w:hAnsi="Times New Roman" w:cs="Times New Roman"/>
          <w:lang w:eastAsia="et-EE"/>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4B3B5C" w:rsidRDefault="004B3B5C" w:rsidP="004B3B5C">
      <w:pPr>
        <w:numPr>
          <w:ilvl w:val="1"/>
          <w:numId w:val="1"/>
        </w:numPr>
        <w:autoSpaceDE w:val="0"/>
        <w:autoSpaceDN w:val="0"/>
        <w:ind w:left="709" w:hanging="563"/>
        <w:jc w:val="both"/>
        <w:rPr>
          <w:rFonts w:ascii="Times New Roman" w:hAnsi="Times New Roman" w:cs="Times New Roman"/>
          <w:lang w:eastAsia="et-EE"/>
        </w:rPr>
      </w:pPr>
      <w:r>
        <w:rPr>
          <w:rFonts w:ascii="Times New Roman" w:hAnsi="Times New Roman" w:cs="Times New Roman"/>
          <w:color w:val="000000"/>
          <w:lang w:eastAsia="et-EE"/>
        </w:rPr>
        <w:t xml:space="preserve">Hankija ei sõlmi hankelepingut pakkujaga, kellel on maksuvõlg. Enne hankelepingu sõlmimist kontrollib hankija pakkujal maksuvõla puudumist avalikust andmebaasist: </w:t>
      </w:r>
      <w:hyperlink r:id="rId6" w:history="1">
        <w:r>
          <w:rPr>
            <w:rStyle w:val="Hyperlink"/>
            <w:rFonts w:ascii="Times New Roman" w:hAnsi="Times New Roman" w:cs="Times New Roman"/>
            <w:lang w:eastAsia="et-EE"/>
          </w:rPr>
          <w:t>https://apps.emta.ee/saqu/public/taxdebt?lang=et</w:t>
        </w:r>
      </w:hyperlink>
      <w:r>
        <w:rPr>
          <w:rFonts w:ascii="Times New Roman" w:hAnsi="Times New Roman" w:cs="Times New Roman"/>
          <w:color w:val="000000"/>
          <w:lang w:eastAsia="et-EE"/>
        </w:rPr>
        <w:t>. Kui pakkujal esineb maksuvõlg, siis teavitab hankija sellest pakkujat ja annab pakkujale vähemalt kaks tööpäeva maksuvõla tasumiseks. Hankija võib mõjuvatel põhjustel pakkujale antud tähtaega pikendada. Kui hankija poolt antud tähtaja jooksul pakkuja maksuvõlga ära ei tasu, siis hankija pakkujaga hankelepingut ei sõlmi.</w:t>
      </w:r>
    </w:p>
    <w:p w:rsidR="004B3B5C" w:rsidRDefault="004B3B5C" w:rsidP="004B3B5C">
      <w:pPr>
        <w:autoSpaceDE w:val="0"/>
        <w:autoSpaceDN w:val="0"/>
        <w:ind w:left="709"/>
        <w:jc w:val="both"/>
        <w:rPr>
          <w:rFonts w:ascii="Times New Roman" w:hAnsi="Times New Roman" w:cs="Times New Roman"/>
          <w:lang w:eastAsia="et-EE"/>
        </w:rPr>
      </w:pPr>
    </w:p>
    <w:p w:rsidR="004B3B5C" w:rsidRDefault="004B3B5C" w:rsidP="004B3B5C">
      <w:pPr>
        <w:ind w:firstLine="142"/>
        <w:jc w:val="both"/>
        <w:rPr>
          <w:rFonts w:ascii="Times New Roman" w:hAnsi="Times New Roman" w:cs="Times New Roman"/>
          <w:b/>
          <w:bCs/>
          <w:lang w:eastAsia="et-EE"/>
        </w:rPr>
      </w:pPr>
      <w:r>
        <w:rPr>
          <w:rFonts w:ascii="Times New Roman" w:hAnsi="Times New Roman" w:cs="Times New Roman"/>
          <w:b/>
          <w:bCs/>
          <w:lang w:eastAsia="et-EE"/>
        </w:rPr>
        <w:t>Ostetava asja kirjeldus</w:t>
      </w:r>
    </w:p>
    <w:p w:rsidR="004B3B5C" w:rsidRDefault="004B3B5C" w:rsidP="004B3B5C">
      <w:pPr>
        <w:ind w:left="430"/>
        <w:contextualSpacing/>
        <w:jc w:val="both"/>
        <w:rPr>
          <w:rFonts w:ascii="Times New Roman" w:hAnsi="Times New Roman" w:cs="Times New Roman"/>
          <w:b/>
          <w:bCs/>
          <w:lang w:eastAsia="et-EE"/>
        </w:rPr>
      </w:pPr>
    </w:p>
    <w:p w:rsidR="004B3B5C" w:rsidRDefault="004B3B5C" w:rsidP="004B3B5C">
      <w:pPr>
        <w:numPr>
          <w:ilvl w:val="1"/>
          <w:numId w:val="1"/>
        </w:numPr>
        <w:spacing w:line="252" w:lineRule="auto"/>
        <w:ind w:left="506"/>
        <w:contextualSpacing/>
        <w:jc w:val="both"/>
        <w:rPr>
          <w:rFonts w:ascii="Times New Roman" w:hAnsi="Times New Roman" w:cs="Times New Roman"/>
          <w:lang w:eastAsia="et-EE"/>
        </w:rPr>
      </w:pPr>
      <w:r>
        <w:rPr>
          <w:rFonts w:ascii="Times New Roman" w:hAnsi="Times New Roman" w:cs="Times New Roman"/>
          <w:lang w:eastAsia="et-EE"/>
        </w:rPr>
        <w:t>Ostetavate esemete kirjeldus on välja toodud allolevas Tabelis 1.</w:t>
      </w:r>
    </w:p>
    <w:p w:rsidR="004B3B5C" w:rsidRDefault="004B3B5C" w:rsidP="004B3B5C">
      <w:pPr>
        <w:numPr>
          <w:ilvl w:val="1"/>
          <w:numId w:val="1"/>
        </w:numPr>
        <w:spacing w:line="252" w:lineRule="auto"/>
        <w:ind w:left="506"/>
        <w:contextualSpacing/>
        <w:jc w:val="both"/>
        <w:rPr>
          <w:rFonts w:ascii="Times New Roman" w:hAnsi="Times New Roman" w:cs="Times New Roman"/>
          <w:lang w:eastAsia="et-EE"/>
        </w:rPr>
      </w:pPr>
      <w:r>
        <w:rPr>
          <w:rFonts w:ascii="Times New Roman" w:hAnsi="Times New Roman" w:cs="Times New Roman"/>
          <w:lang w:eastAsia="et-EE"/>
        </w:rPr>
        <w:t>Ostetavad esemed peavad vastama tehnilises kirjelduses olevale.</w:t>
      </w:r>
    </w:p>
    <w:p w:rsidR="004B3B5C" w:rsidRDefault="004B3B5C" w:rsidP="004B3B5C">
      <w:pPr>
        <w:ind w:left="146"/>
        <w:jc w:val="both"/>
        <w:rPr>
          <w:rFonts w:ascii="Times New Roman" w:hAnsi="Times New Roman" w:cs="Times New Roman"/>
        </w:rPr>
      </w:pPr>
    </w:p>
    <w:p w:rsidR="004B3B5C" w:rsidRDefault="004B3B5C" w:rsidP="004B3B5C">
      <w:pPr>
        <w:ind w:left="146"/>
        <w:jc w:val="both"/>
        <w:rPr>
          <w:rFonts w:ascii="Times New Roman" w:hAnsi="Times New Roman" w:cs="Times New Roman"/>
          <w:i/>
          <w:iCs/>
        </w:rPr>
      </w:pPr>
      <w:r>
        <w:rPr>
          <w:rFonts w:ascii="Times New Roman" w:hAnsi="Times New Roman" w:cs="Times New Roman"/>
        </w:rPr>
        <w:t>Tabel 1. Ostetavate esemete tehniline kirjeldus</w:t>
      </w:r>
    </w:p>
    <w:p w:rsidR="004B3B5C" w:rsidRDefault="004B3B5C" w:rsidP="004B3B5C">
      <w:pPr>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3214"/>
        <w:gridCol w:w="4433"/>
      </w:tblGrid>
      <w:tr w:rsidR="004B3B5C" w:rsidTr="004B3B5C">
        <w:tc>
          <w:tcPr>
            <w:tcW w:w="3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B3B5C" w:rsidRDefault="004B3B5C">
            <w:pPr>
              <w:spacing w:line="252" w:lineRule="auto"/>
              <w:rPr>
                <w:rFonts w:ascii="Times New Roman" w:hAnsi="Times New Roman" w:cs="Times New Roman"/>
                <w:b/>
                <w:bCs/>
              </w:rPr>
            </w:pPr>
            <w:r>
              <w:rPr>
                <w:rFonts w:ascii="Times New Roman" w:hAnsi="Times New Roman" w:cs="Times New Roman"/>
                <w:b/>
                <w:bCs/>
              </w:rPr>
              <w:t>Õppuse Green Victory 2024 embleem</w:t>
            </w:r>
          </w:p>
        </w:tc>
        <w:tc>
          <w:tcPr>
            <w:tcW w:w="4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B3B5C" w:rsidRDefault="004B3B5C" w:rsidP="004B3B5C">
            <w:pPr>
              <w:pStyle w:val="Heading4"/>
              <w:numPr>
                <w:ilvl w:val="0"/>
                <w:numId w:val="6"/>
              </w:numPr>
              <w:spacing w:line="252"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Embleem peab olema tagant takjakinnitusega;</w:t>
            </w:r>
          </w:p>
          <w:p w:rsidR="004B3B5C" w:rsidRDefault="004B3B5C" w:rsidP="004B3B5C">
            <w:pPr>
              <w:pStyle w:val="Heading4"/>
              <w:numPr>
                <w:ilvl w:val="0"/>
                <w:numId w:val="6"/>
              </w:numPr>
              <w:spacing w:line="252"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Embleemi läbimõõt</w:t>
            </w:r>
            <w:r>
              <w:rPr>
                <w:rFonts w:ascii="Times New Roman" w:eastAsia="Times New Roman" w:hAnsi="Times New Roman" w:cs="Times New Roman"/>
                <w:i w:val="0"/>
                <w:iCs w:val="0"/>
                <w:color w:val="auto"/>
              </w:rPr>
              <w:t xml:space="preserve">: </w:t>
            </w:r>
            <w:r>
              <w:rPr>
                <w:rFonts w:ascii="Times New Roman" w:eastAsia="Times New Roman" w:hAnsi="Times New Roman" w:cs="Times New Roman"/>
                <w:i w:val="0"/>
                <w:iCs w:val="0"/>
                <w:color w:val="auto"/>
              </w:rPr>
              <w:t>8 cm</w:t>
            </w:r>
          </w:p>
          <w:p w:rsidR="004B3B5C" w:rsidRDefault="004B3B5C" w:rsidP="004B3B5C">
            <w:pPr>
              <w:pStyle w:val="Heading4"/>
              <w:numPr>
                <w:ilvl w:val="0"/>
                <w:numId w:val="6"/>
              </w:numPr>
              <w:spacing w:line="252"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Embleem peab olema valmistatud kootud tehnikas;</w:t>
            </w:r>
          </w:p>
          <w:p w:rsidR="004B3B5C" w:rsidRDefault="004B3B5C" w:rsidP="004B3B5C">
            <w:pPr>
              <w:pStyle w:val="Heading4"/>
              <w:numPr>
                <w:ilvl w:val="0"/>
                <w:numId w:val="6"/>
              </w:numPr>
              <w:spacing w:line="252"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 xml:space="preserve">Embleemi kujundus on nähtav </w:t>
            </w:r>
            <w:r w:rsidR="00CD0BB3">
              <w:rPr>
                <w:rFonts w:ascii="Times New Roman" w:eastAsia="Times New Roman" w:hAnsi="Times New Roman" w:cs="Times New Roman"/>
                <w:i w:val="0"/>
                <w:iCs w:val="0"/>
                <w:color w:val="auto"/>
              </w:rPr>
              <w:t>j</w:t>
            </w:r>
            <w:r>
              <w:rPr>
                <w:rFonts w:ascii="Times New Roman" w:eastAsia="Times New Roman" w:hAnsi="Times New Roman" w:cs="Times New Roman"/>
                <w:i w:val="0"/>
                <w:iCs w:val="0"/>
                <w:color w:val="auto"/>
              </w:rPr>
              <w:t>oonisel 1;</w:t>
            </w:r>
          </w:p>
          <w:p w:rsidR="004B3B5C" w:rsidRDefault="004B3B5C" w:rsidP="004B3B5C">
            <w:pPr>
              <w:pStyle w:val="Heading4"/>
              <w:numPr>
                <w:ilvl w:val="0"/>
                <w:numId w:val="6"/>
              </w:numPr>
              <w:spacing w:line="252" w:lineRule="auto"/>
              <w:rPr>
                <w:rFonts w:ascii="Times New Roman" w:eastAsia="Times New Roman" w:hAnsi="Times New Roman" w:cs="Times New Roman"/>
                <w:i w:val="0"/>
                <w:iCs w:val="0"/>
                <w:color w:val="auto"/>
              </w:rPr>
            </w:pPr>
            <w:r>
              <w:rPr>
                <w:rFonts w:ascii="Times New Roman" w:eastAsia="Times New Roman" w:hAnsi="Times New Roman" w:cs="Times New Roman"/>
                <w:i w:val="0"/>
                <w:iCs w:val="0"/>
                <w:color w:val="auto"/>
              </w:rPr>
              <w:t>Võimalusel palume eelnevalt ühte embleemi valmisnäidist;</w:t>
            </w:r>
          </w:p>
          <w:p w:rsidR="004B3B5C" w:rsidRPr="004B3B5C" w:rsidRDefault="004B3B5C" w:rsidP="004B3B5C">
            <w:pPr>
              <w:pStyle w:val="ListParagraph"/>
              <w:numPr>
                <w:ilvl w:val="0"/>
                <w:numId w:val="6"/>
              </w:numPr>
              <w:spacing w:line="252" w:lineRule="auto"/>
              <w:rPr>
                <w:rFonts w:ascii="Times New Roman" w:hAnsi="Times New Roman" w:cs="Times New Roman"/>
                <w:lang w:eastAsia="et-EE"/>
              </w:rPr>
            </w:pPr>
            <w:r w:rsidRPr="004B3B5C">
              <w:rPr>
                <w:rFonts w:ascii="Times New Roman" w:hAnsi="Times New Roman" w:cs="Times New Roman"/>
                <w:lang w:eastAsia="et-EE"/>
              </w:rPr>
              <w:t>Kogus: 700 tk</w:t>
            </w:r>
          </w:p>
          <w:p w:rsidR="004B3B5C" w:rsidRDefault="004B3B5C" w:rsidP="004B3B5C">
            <w:pPr>
              <w:spacing w:line="252" w:lineRule="auto"/>
              <w:rPr>
                <w:rFonts w:ascii="Times New Roman" w:hAnsi="Times New Roman" w:cs="Times New Roman"/>
                <w:lang w:eastAsia="et-EE"/>
              </w:rPr>
            </w:pPr>
          </w:p>
        </w:tc>
      </w:tr>
    </w:tbl>
    <w:p w:rsidR="004B3B5C" w:rsidRDefault="004B3B5C" w:rsidP="004B3B5C">
      <w:pPr>
        <w:autoSpaceDE w:val="0"/>
        <w:autoSpaceDN w:val="0"/>
        <w:spacing w:line="252" w:lineRule="auto"/>
        <w:jc w:val="both"/>
        <w:rPr>
          <w:rFonts w:ascii="Times New Roman" w:hAnsi="Times New Roman" w:cs="Times New Roman"/>
          <w:lang w:eastAsia="et-EE"/>
        </w:rPr>
      </w:pPr>
    </w:p>
    <w:p w:rsidR="004B3B5C" w:rsidRDefault="004B3B5C" w:rsidP="004B3B5C">
      <w:pPr>
        <w:autoSpaceDE w:val="0"/>
        <w:autoSpaceDN w:val="0"/>
        <w:spacing w:line="252" w:lineRule="auto"/>
        <w:jc w:val="both"/>
        <w:rPr>
          <w:rFonts w:ascii="Times New Roman" w:hAnsi="Times New Roman" w:cs="Times New Roman"/>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4B3B5C" w:rsidRDefault="004B3B5C" w:rsidP="004B3B5C">
      <w:pPr>
        <w:autoSpaceDE w:val="0"/>
        <w:autoSpaceDN w:val="0"/>
        <w:spacing w:line="252" w:lineRule="auto"/>
        <w:jc w:val="both"/>
        <w:rPr>
          <w:rFonts w:ascii="Times New Roman" w:hAnsi="Times New Roman" w:cs="Times New Roman"/>
          <w:i/>
          <w:lang w:eastAsia="et-EE"/>
        </w:rPr>
      </w:pPr>
      <w:r w:rsidRPr="00CD0BB3">
        <w:rPr>
          <w:rFonts w:ascii="Times New Roman" w:hAnsi="Times New Roman" w:cs="Times New Roman"/>
          <w:i/>
          <w:lang w:eastAsia="et-EE"/>
        </w:rPr>
        <w:lastRenderedPageBreak/>
        <w:t>Joonis 1. Embleemi kujundus</w:t>
      </w: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p>
    <w:p w:rsidR="00CD0BB3" w:rsidRDefault="00CD0BB3" w:rsidP="004B3B5C">
      <w:pPr>
        <w:autoSpaceDE w:val="0"/>
        <w:autoSpaceDN w:val="0"/>
        <w:spacing w:line="252" w:lineRule="auto"/>
        <w:jc w:val="both"/>
        <w:rPr>
          <w:rFonts w:ascii="Times New Roman" w:hAnsi="Times New Roman" w:cs="Times New Roman"/>
          <w:i/>
          <w:lang w:eastAsia="et-EE"/>
        </w:rPr>
      </w:pPr>
      <w:r>
        <w:rPr>
          <w:rFonts w:ascii="Times New Roman" w:hAnsi="Times New Roman" w:cs="Times New Roman"/>
          <w:i/>
          <w:noProof/>
          <w:lang w:eastAsia="et-EE"/>
        </w:rPr>
        <w:drawing>
          <wp:inline distT="0" distB="0" distL="0" distR="0" wp14:anchorId="1BCAFDD8" wp14:editId="5579085B">
            <wp:extent cx="2706989" cy="254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_Victory_patch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1184" cy="2543936"/>
                    </a:xfrm>
                    <a:prstGeom prst="rect">
                      <a:avLst/>
                    </a:prstGeom>
                  </pic:spPr>
                </pic:pic>
              </a:graphicData>
            </a:graphic>
          </wp:inline>
        </w:drawing>
      </w:r>
    </w:p>
    <w:p w:rsidR="00CD0BB3" w:rsidRPr="00CD0BB3" w:rsidRDefault="00CD0BB3" w:rsidP="004B3B5C">
      <w:pPr>
        <w:autoSpaceDE w:val="0"/>
        <w:autoSpaceDN w:val="0"/>
        <w:spacing w:line="252" w:lineRule="auto"/>
        <w:jc w:val="both"/>
        <w:rPr>
          <w:rFonts w:ascii="Times New Roman" w:hAnsi="Times New Roman" w:cs="Times New Roman"/>
          <w:i/>
          <w:lang w:eastAsia="et-EE"/>
        </w:rPr>
      </w:pPr>
    </w:p>
    <w:p w:rsidR="004B3B5C" w:rsidRDefault="004B3B5C" w:rsidP="004B3B5C">
      <w:pPr>
        <w:autoSpaceDE w:val="0"/>
        <w:autoSpaceDN w:val="0"/>
        <w:spacing w:line="252" w:lineRule="auto"/>
        <w:jc w:val="both"/>
        <w:rPr>
          <w:rFonts w:ascii="Times New Roman" w:hAnsi="Times New Roman" w:cs="Times New Roman"/>
          <w:lang w:eastAsia="et-EE"/>
        </w:rPr>
      </w:pPr>
    </w:p>
    <w:p w:rsidR="004B3B5C" w:rsidRDefault="004B3B5C" w:rsidP="004B3B5C">
      <w:pPr>
        <w:autoSpaceDE w:val="0"/>
        <w:autoSpaceDN w:val="0"/>
        <w:spacing w:line="252" w:lineRule="auto"/>
        <w:jc w:val="both"/>
        <w:rPr>
          <w:rFonts w:ascii="Times New Roman" w:hAnsi="Times New Roman" w:cs="Times New Roman"/>
          <w:i/>
          <w:iCs/>
          <w:lang w:eastAsia="et-EE"/>
        </w:rPr>
      </w:pPr>
    </w:p>
    <w:p w:rsidR="004B3B5C" w:rsidRDefault="004B3B5C" w:rsidP="004B3B5C">
      <w:pPr>
        <w:autoSpaceDE w:val="0"/>
        <w:autoSpaceDN w:val="0"/>
        <w:spacing w:line="252" w:lineRule="auto"/>
        <w:jc w:val="both"/>
        <w:rPr>
          <w:rFonts w:ascii="Times New Roman" w:hAnsi="Times New Roman" w:cs="Times New Roman"/>
          <w:i/>
          <w:iCs/>
          <w:lang w:eastAsia="et-EE"/>
        </w:rPr>
      </w:pPr>
    </w:p>
    <w:p w:rsidR="004B3B5C" w:rsidRDefault="004B3B5C" w:rsidP="004B3B5C">
      <w:pPr>
        <w:autoSpaceDE w:val="0"/>
        <w:autoSpaceDN w:val="0"/>
        <w:spacing w:line="252" w:lineRule="auto"/>
        <w:jc w:val="both"/>
        <w:rPr>
          <w:rFonts w:ascii="Times New Roman" w:hAnsi="Times New Roman" w:cs="Times New Roman"/>
          <w:b/>
          <w:bCs/>
          <w:lang w:eastAsia="et-EE"/>
        </w:rPr>
      </w:pPr>
      <w:r>
        <w:rPr>
          <w:rFonts w:ascii="Times New Roman" w:hAnsi="Times New Roman" w:cs="Times New Roman"/>
          <w:b/>
          <w:bCs/>
          <w:lang w:eastAsia="et-EE"/>
        </w:rPr>
        <w:t>Pakkumus peab sisaldama:</w:t>
      </w:r>
    </w:p>
    <w:p w:rsidR="004B3B5C" w:rsidRDefault="004B3B5C" w:rsidP="004B3B5C">
      <w:pPr>
        <w:autoSpaceDE w:val="0"/>
        <w:autoSpaceDN w:val="0"/>
        <w:spacing w:line="252" w:lineRule="auto"/>
        <w:jc w:val="both"/>
        <w:rPr>
          <w:rFonts w:ascii="Times New Roman" w:hAnsi="Times New Roman" w:cs="Times New Roman"/>
          <w:lang w:eastAsia="et-EE"/>
        </w:rPr>
      </w:pPr>
    </w:p>
    <w:p w:rsidR="004B3B5C" w:rsidRDefault="004B3B5C" w:rsidP="004B3B5C">
      <w:pPr>
        <w:pStyle w:val="ListParagraph"/>
        <w:numPr>
          <w:ilvl w:val="0"/>
          <w:numId w:val="3"/>
        </w:numPr>
        <w:autoSpaceDE w:val="0"/>
        <w:autoSpaceDN w:val="0"/>
        <w:spacing w:line="252"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ühe tk maksumust</w:t>
      </w:r>
      <w:r w:rsidR="00CD0BB3">
        <w:rPr>
          <w:rFonts w:ascii="Times New Roman" w:eastAsia="Times New Roman" w:hAnsi="Times New Roman" w:cs="Times New Roman"/>
          <w:lang w:eastAsia="et-EE"/>
        </w:rPr>
        <w:t>;</w:t>
      </w:r>
    </w:p>
    <w:p w:rsidR="004B3B5C" w:rsidRDefault="004B3B5C" w:rsidP="004B3B5C">
      <w:pPr>
        <w:numPr>
          <w:ilvl w:val="0"/>
          <w:numId w:val="3"/>
        </w:numPr>
        <w:autoSpaceDE w:val="0"/>
        <w:autoSpaceDN w:val="0"/>
        <w:spacing w:line="252"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tarneaega kalendripäevades arvestatuna tellimusest;</w:t>
      </w:r>
    </w:p>
    <w:p w:rsidR="004B3B5C" w:rsidRDefault="004B3B5C" w:rsidP="004B3B5C">
      <w:pPr>
        <w:numPr>
          <w:ilvl w:val="0"/>
          <w:numId w:val="3"/>
        </w:numPr>
        <w:autoSpaceDE w:val="0"/>
        <w:autoSpaceDN w:val="0"/>
        <w:spacing w:line="252" w:lineRule="auto"/>
        <w:jc w:val="both"/>
        <w:rPr>
          <w:rFonts w:ascii="Times New Roman" w:eastAsia="Times New Roman" w:hAnsi="Times New Roman" w:cs="Times New Roman"/>
          <w:lang w:eastAsia="et-EE"/>
        </w:rPr>
      </w:pPr>
      <w:r>
        <w:rPr>
          <w:rFonts w:ascii="Times New Roman" w:eastAsia="Times New Roman" w:hAnsi="Times New Roman" w:cs="Times New Roman"/>
          <w:lang w:eastAsia="et-EE"/>
        </w:rPr>
        <w:t>kinnitust, et pakutav toode vastab kõikidele esitatud tingimustele;</w:t>
      </w:r>
    </w:p>
    <w:p w:rsidR="004B3B5C" w:rsidRDefault="004B3B5C" w:rsidP="004B3B5C">
      <w:pPr>
        <w:autoSpaceDE w:val="0"/>
        <w:autoSpaceDN w:val="0"/>
        <w:spacing w:line="252" w:lineRule="auto"/>
        <w:jc w:val="both"/>
        <w:rPr>
          <w:rFonts w:ascii="Times New Roman" w:hAnsi="Times New Roman" w:cs="Times New Roman"/>
          <w:lang w:eastAsia="et-EE"/>
        </w:rPr>
      </w:pPr>
    </w:p>
    <w:p w:rsidR="004B3B5C" w:rsidRDefault="004B3B5C" w:rsidP="004B3B5C">
      <w:pPr>
        <w:ind w:left="977" w:right="19" w:hanging="556"/>
        <w:rPr>
          <w:rFonts w:ascii="Times New Roman" w:hAnsi="Times New Roman" w:cs="Times New Roman"/>
        </w:rPr>
      </w:pPr>
      <w:r>
        <w:rPr>
          <w:rFonts w:ascii="Times New Roman" w:hAnsi="Times New Roman" w:cs="Times New Roman"/>
        </w:rPr>
        <w:t xml:space="preserve">Hankija  kontrollib tähtaegselt esitatud pakkumuste vastavust väikeostu dokumentides esitatud nõuetele. Juhul, kui pakkumus ei vasta väikeostu dokumendis toodud tingimustele, lükkab hankija pakkumuse tagasi.    </w:t>
      </w:r>
    </w:p>
    <w:p w:rsidR="004B3B5C" w:rsidRDefault="004B3B5C" w:rsidP="004B3B5C">
      <w:pPr>
        <w:ind w:left="977" w:right="19" w:hanging="556"/>
        <w:rPr>
          <w:rFonts w:ascii="Times New Roman" w:hAnsi="Times New Roman" w:cs="Times New Roman"/>
        </w:rPr>
      </w:pPr>
      <w:r>
        <w:rPr>
          <w:rFonts w:ascii="Times New Roman" w:hAnsi="Times New Roman" w:cs="Times New Roman"/>
        </w:rPr>
        <w:t xml:space="preserve">Hankijal on õigus küsida pakkujalt esitatud pakkumuse kohta täpsustavaid andmeid ja täiendavaid selgitusi.   </w:t>
      </w:r>
    </w:p>
    <w:p w:rsidR="004B3B5C" w:rsidRDefault="004B3B5C" w:rsidP="004B3B5C">
      <w:pPr>
        <w:ind w:left="977" w:right="19" w:hanging="556"/>
        <w:rPr>
          <w:rFonts w:ascii="Times New Roman" w:hAnsi="Times New Roman" w:cs="Times New Roman"/>
        </w:rPr>
      </w:pPr>
      <w:r>
        <w:rPr>
          <w:rFonts w:ascii="Times New Roman" w:hAnsi="Times New Roman" w:cs="Times New Roman"/>
        </w:rPr>
        <w:t xml:space="preserve">Vastavaks tunnistatud pakkumuste seast valib hankija eduka pakkumuse välja </w:t>
      </w:r>
      <w:r>
        <w:rPr>
          <w:rFonts w:ascii="Times New Roman" w:hAnsi="Times New Roman" w:cs="Times New Roman"/>
          <w:u w:val="single"/>
        </w:rPr>
        <w:t>madalaima hinna alusel</w:t>
      </w:r>
      <w:r>
        <w:rPr>
          <w:rFonts w:ascii="Times New Roman" w:hAnsi="Times New Roman" w:cs="Times New Roman"/>
        </w:rPr>
        <w:t xml:space="preserve">. Juhul, kui pakkumused on võrdsed, korraldab hankija eduka pakkumuse väljaselgitamiseks liisuheitmise, võimaldades võrdse maksumusega pakkumuse esitanud pakkujatel liisuheitmise juures viibida.   </w:t>
      </w:r>
    </w:p>
    <w:p w:rsidR="004B3B5C" w:rsidRDefault="004B3B5C" w:rsidP="004B3B5C">
      <w:pPr>
        <w:jc w:val="both"/>
        <w:rPr>
          <w:rFonts w:ascii="Times New Roman" w:hAnsi="Times New Roman" w:cs="Times New Roman"/>
          <w:lang w:eastAsia="et-EE"/>
        </w:rPr>
      </w:pPr>
    </w:p>
    <w:p w:rsidR="004B3B5C" w:rsidRDefault="004B3B5C" w:rsidP="004B3B5C">
      <w:pPr>
        <w:jc w:val="both"/>
        <w:rPr>
          <w:rFonts w:ascii="Times New Roman" w:hAnsi="Times New Roman" w:cs="Times New Roman"/>
          <w:lang w:eastAsia="et-EE"/>
        </w:rPr>
      </w:pPr>
      <w:r>
        <w:rPr>
          <w:rFonts w:ascii="Times New Roman" w:hAnsi="Times New Roman" w:cs="Times New Roman"/>
          <w:lang w:eastAsia="et-EE"/>
        </w:rPr>
        <w:t xml:space="preserve">Pakkumus palun esitada e-posti aadressile </w:t>
      </w:r>
      <w:hyperlink r:id="rId8" w:history="1">
        <w:r>
          <w:rPr>
            <w:rStyle w:val="Hyperlink"/>
            <w:rFonts w:ascii="Times New Roman" w:hAnsi="Times New Roman" w:cs="Times New Roman"/>
            <w:b/>
            <w:bCs/>
            <w:lang w:eastAsia="et-EE"/>
          </w:rPr>
          <w:t>ilona.horn@politsei.ee</w:t>
        </w:r>
      </w:hyperlink>
      <w:r>
        <w:rPr>
          <w:rFonts w:ascii="Times New Roman" w:hAnsi="Times New Roman" w:cs="Times New Roman"/>
          <w:lang w:eastAsia="et-EE"/>
        </w:rPr>
        <w:t xml:space="preserve"> hiljemalt </w:t>
      </w:r>
      <w:r w:rsidR="00CD0BB3">
        <w:rPr>
          <w:rFonts w:ascii="Times New Roman" w:hAnsi="Times New Roman" w:cs="Times New Roman"/>
          <w:b/>
          <w:bCs/>
          <w:lang w:eastAsia="et-EE"/>
        </w:rPr>
        <w:t>28</w:t>
      </w:r>
      <w:r>
        <w:rPr>
          <w:rFonts w:ascii="Times New Roman" w:hAnsi="Times New Roman" w:cs="Times New Roman"/>
          <w:b/>
          <w:bCs/>
          <w:lang w:eastAsia="et-EE"/>
        </w:rPr>
        <w:t>.0</w:t>
      </w:r>
      <w:r w:rsidR="00CD0BB3">
        <w:rPr>
          <w:rFonts w:ascii="Times New Roman" w:hAnsi="Times New Roman" w:cs="Times New Roman"/>
          <w:b/>
          <w:bCs/>
          <w:lang w:eastAsia="et-EE"/>
        </w:rPr>
        <w:t>6</w:t>
      </w:r>
      <w:bookmarkStart w:id="0" w:name="_GoBack"/>
      <w:bookmarkEnd w:id="0"/>
      <w:r>
        <w:rPr>
          <w:rFonts w:ascii="Times New Roman" w:hAnsi="Times New Roman" w:cs="Times New Roman"/>
          <w:b/>
          <w:bCs/>
          <w:lang w:eastAsia="et-EE"/>
        </w:rPr>
        <w:t xml:space="preserve">.2024 kell 16:00. </w:t>
      </w:r>
    </w:p>
    <w:p w:rsidR="004B3B5C" w:rsidRDefault="004B3B5C" w:rsidP="004B3B5C">
      <w:pPr>
        <w:autoSpaceDE w:val="0"/>
        <w:autoSpaceDN w:val="0"/>
        <w:jc w:val="both"/>
        <w:rPr>
          <w:rFonts w:ascii="Times New Roman" w:hAnsi="Times New Roman" w:cs="Times New Roman"/>
        </w:rPr>
      </w:pPr>
    </w:p>
    <w:p w:rsidR="004B3B5C" w:rsidRDefault="004B3B5C" w:rsidP="004B3B5C">
      <w:pPr>
        <w:autoSpaceDE w:val="0"/>
        <w:autoSpaceDN w:val="0"/>
        <w:jc w:val="both"/>
        <w:rPr>
          <w:rFonts w:ascii="Times New Roman" w:hAnsi="Times New Roman" w:cs="Times New Roman"/>
        </w:rPr>
      </w:pPr>
      <w:r>
        <w:rPr>
          <w:rFonts w:ascii="Times New Roman" w:hAnsi="Times New Roman" w:cs="Times New Roman"/>
        </w:rPr>
        <w:t xml:space="preserve">Võtame vastu ainult e-arveid. </w:t>
      </w:r>
    </w:p>
    <w:p w:rsidR="004B3B5C" w:rsidRDefault="004B3B5C" w:rsidP="004B3B5C">
      <w:pPr>
        <w:jc w:val="both"/>
        <w:rPr>
          <w:rFonts w:ascii="Times New Roman" w:hAnsi="Times New Roman" w:cs="Times New Roman"/>
        </w:rPr>
      </w:pPr>
      <w:r>
        <w:rPr>
          <w:rFonts w:ascii="Times New Roman" w:hAnsi="Times New Roman" w:cs="Times New Roman"/>
        </w:rPr>
        <w:t>E-arve saatmise võimalused:</w:t>
      </w:r>
    </w:p>
    <w:p w:rsidR="004B3B5C" w:rsidRDefault="004B3B5C" w:rsidP="004B3B5C">
      <w:pPr>
        <w:numPr>
          <w:ilvl w:val="0"/>
          <w:numId w:val="4"/>
        </w:numPr>
        <w:autoSpaceDE w:val="0"/>
        <w:autoSpaceDN w:val="0"/>
        <w:spacing w:line="252" w:lineRule="auto"/>
        <w:jc w:val="both"/>
        <w:rPr>
          <w:rFonts w:ascii="Times New Roman" w:eastAsia="Times New Roman" w:hAnsi="Times New Roman" w:cs="Times New Roman"/>
        </w:rPr>
      </w:pPr>
      <w:r>
        <w:rPr>
          <w:rFonts w:ascii="Times New Roman" w:eastAsia="Times New Roman" w:hAnsi="Times New Roman" w:cs="Times New Roman"/>
        </w:rPr>
        <w:t>kui pakkuja on e-arvete operaatori klient, edastada e-arve oma operaatorile, kelle kaudu see jõuab hankijani;</w:t>
      </w:r>
    </w:p>
    <w:p w:rsidR="004B3B5C" w:rsidRDefault="004B3B5C" w:rsidP="004B3B5C">
      <w:pPr>
        <w:numPr>
          <w:ilvl w:val="0"/>
          <w:numId w:val="4"/>
        </w:numPr>
        <w:autoSpaceDE w:val="0"/>
        <w:autoSpaceDN w:val="0"/>
        <w:spacing w:line="252" w:lineRule="auto"/>
        <w:jc w:val="both"/>
        <w:rPr>
          <w:rFonts w:ascii="Times New Roman" w:eastAsia="Times New Roman" w:hAnsi="Times New Roman" w:cs="Times New Roman"/>
        </w:rPr>
      </w:pPr>
      <w:r>
        <w:rPr>
          <w:rFonts w:ascii="Times New Roman" w:eastAsia="Times New Roman" w:hAnsi="Times New Roman" w:cs="Times New Roman"/>
        </w:rPr>
        <w:t>hankijale on võimalik saata e-arvet tasuta, kasutades infosüsteeme:</w:t>
      </w:r>
    </w:p>
    <w:p w:rsidR="004B3B5C" w:rsidRDefault="004B3B5C" w:rsidP="004B3B5C">
      <w:pPr>
        <w:numPr>
          <w:ilvl w:val="0"/>
          <w:numId w:val="5"/>
        </w:numPr>
        <w:autoSpaceDE w:val="0"/>
        <w:autoSpaceDN w:val="0"/>
        <w:spacing w:line="252" w:lineRule="auto"/>
        <w:contextualSpacing/>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arveldaja</w:t>
      </w:r>
      <w:proofErr w:type="spellEnd"/>
      <w:r>
        <w:rPr>
          <w:rFonts w:ascii="Times New Roman" w:eastAsia="Times New Roman" w:hAnsi="Times New Roman" w:cs="Times New Roman"/>
        </w:rPr>
        <w:t xml:space="preserve"> (</w:t>
      </w:r>
      <w:hyperlink r:id="rId9" w:history="1">
        <w:r>
          <w:rPr>
            <w:rStyle w:val="Hyperlink"/>
            <w:rFonts w:ascii="Times New Roman" w:eastAsia="Times New Roman" w:hAnsi="Times New Roman" w:cs="Times New Roman"/>
          </w:rPr>
          <w:t>http://www.rik.ee/et/e-arveldaja</w:t>
        </w:r>
      </w:hyperlink>
      <w:r>
        <w:rPr>
          <w:rFonts w:ascii="Times New Roman" w:eastAsia="Times New Roman" w:hAnsi="Times New Roman" w:cs="Times New Roman"/>
        </w:rPr>
        <w:t xml:space="preserve">). </w:t>
      </w:r>
    </w:p>
    <w:p w:rsidR="004B3B5C" w:rsidRDefault="004B3B5C" w:rsidP="004B3B5C">
      <w:pPr>
        <w:numPr>
          <w:ilvl w:val="0"/>
          <w:numId w:val="5"/>
        </w:numPr>
        <w:autoSpaceDE w:val="0"/>
        <w:autoSpaceDN w:val="0"/>
        <w:spacing w:line="252"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arved.ee (</w:t>
      </w:r>
      <w:hyperlink r:id="rId10" w:history="1">
        <w:r>
          <w:rPr>
            <w:rStyle w:val="Hyperlink"/>
            <w:rFonts w:ascii="Times New Roman" w:eastAsia="Times New Roman" w:hAnsi="Times New Roman" w:cs="Times New Roman"/>
            <w:color w:val="000000"/>
          </w:rPr>
          <w:t>https://www.arved.ee</w:t>
        </w:r>
      </w:hyperlink>
      <w:r>
        <w:rPr>
          <w:rFonts w:ascii="Times New Roman" w:eastAsia="Times New Roman" w:hAnsi="Times New Roman" w:cs="Times New Roman"/>
          <w:color w:val="000000"/>
          <w:u w:val="single"/>
        </w:rPr>
        <w:t>)</w:t>
      </w:r>
      <w:r>
        <w:rPr>
          <w:rFonts w:ascii="Times New Roman" w:eastAsia="Times New Roman" w:hAnsi="Times New Roman" w:cs="Times New Roman"/>
          <w:color w:val="000000"/>
        </w:rPr>
        <w:t xml:space="preserve"> </w:t>
      </w:r>
    </w:p>
    <w:p w:rsidR="004B3B5C" w:rsidRDefault="004B3B5C" w:rsidP="004B3B5C">
      <w:pPr>
        <w:autoSpaceDE w:val="0"/>
        <w:autoSpaceDN w:val="0"/>
        <w:jc w:val="both"/>
        <w:rPr>
          <w:rFonts w:ascii="Times New Roman" w:hAnsi="Times New Roman" w:cs="Times New Roman"/>
          <w:color w:val="000000"/>
        </w:rPr>
      </w:pPr>
      <w:r>
        <w:rPr>
          <w:rFonts w:ascii="Times New Roman" w:hAnsi="Times New Roman" w:cs="Times New Roman"/>
          <w:color w:val="000000"/>
        </w:rPr>
        <w:t xml:space="preserve">Nimetatud infosüsteemides tuleb avada kasutaja konto, neis on võimalik arve sisestada ja edastada. Avaliku sektori üksustele e-arvete esitamine on tasuta ja  piiramata koguses. </w:t>
      </w:r>
    </w:p>
    <w:p w:rsidR="004B3B5C" w:rsidRDefault="004B3B5C" w:rsidP="004B3B5C"/>
    <w:p w:rsidR="004B3B5C" w:rsidRDefault="004B3B5C" w:rsidP="004B3B5C"/>
    <w:p w:rsidR="004B3B5C" w:rsidRDefault="004B3B5C" w:rsidP="004B3B5C">
      <w:pPr>
        <w:rPr>
          <w:lang w:eastAsia="et-EE"/>
        </w:rPr>
      </w:pPr>
      <w:r>
        <w:rPr>
          <w:lang w:eastAsia="et-EE"/>
        </w:rPr>
        <w:t>Lugupidamisega</w:t>
      </w:r>
    </w:p>
    <w:p w:rsidR="004B3B5C" w:rsidRDefault="004B3B5C" w:rsidP="004B3B5C">
      <w:pPr>
        <w:rPr>
          <w:lang w:eastAsia="et-EE"/>
        </w:rPr>
      </w:pPr>
    </w:p>
    <w:p w:rsidR="004B3B5C" w:rsidRDefault="004B3B5C" w:rsidP="004B3B5C">
      <w:pPr>
        <w:rPr>
          <w:lang w:eastAsia="et-EE"/>
        </w:rPr>
      </w:pPr>
      <w:r>
        <w:rPr>
          <w:lang w:eastAsia="et-EE"/>
        </w:rPr>
        <w:t>Ilona Horn</w:t>
      </w:r>
    </w:p>
    <w:p w:rsidR="004B3B5C" w:rsidRDefault="004B3B5C" w:rsidP="004B3B5C">
      <w:pPr>
        <w:rPr>
          <w:lang w:eastAsia="et-EE"/>
        </w:rPr>
      </w:pPr>
      <w:r>
        <w:rPr>
          <w:lang w:eastAsia="et-EE"/>
        </w:rPr>
        <w:t>ostujuht</w:t>
      </w:r>
    </w:p>
    <w:p w:rsidR="004B3B5C" w:rsidRDefault="004B3B5C" w:rsidP="004B3B5C">
      <w:pPr>
        <w:rPr>
          <w:lang w:eastAsia="et-EE"/>
        </w:rPr>
      </w:pPr>
      <w:r>
        <w:rPr>
          <w:lang w:eastAsia="et-EE"/>
        </w:rPr>
        <w:t>logistikabüroo</w:t>
      </w:r>
    </w:p>
    <w:p w:rsidR="004B3B5C" w:rsidRDefault="004B3B5C" w:rsidP="004B3B5C">
      <w:pPr>
        <w:rPr>
          <w:lang w:eastAsia="et-EE"/>
        </w:rPr>
      </w:pPr>
      <w:r>
        <w:rPr>
          <w:lang w:eastAsia="et-EE"/>
        </w:rPr>
        <w:t>administratsioon</w:t>
      </w:r>
    </w:p>
    <w:p w:rsidR="004B3B5C" w:rsidRDefault="004B3B5C" w:rsidP="004B3B5C">
      <w:pPr>
        <w:rPr>
          <w:lang w:eastAsia="et-EE"/>
        </w:rPr>
      </w:pPr>
      <w:r>
        <w:rPr>
          <w:lang w:eastAsia="et-EE"/>
        </w:rPr>
        <w:t>Politsei-ja Piirivalveamet</w:t>
      </w:r>
    </w:p>
    <w:p w:rsidR="004B3B5C" w:rsidRDefault="004B3B5C" w:rsidP="004B3B5C">
      <w:pPr>
        <w:rPr>
          <w:lang w:eastAsia="et-EE"/>
        </w:rPr>
      </w:pPr>
    </w:p>
    <w:p w:rsidR="004B3B5C" w:rsidRDefault="004B3B5C" w:rsidP="004B3B5C">
      <w:pPr>
        <w:rPr>
          <w:lang w:eastAsia="et-EE"/>
        </w:rPr>
      </w:pPr>
      <w:r>
        <w:rPr>
          <w:lang w:eastAsia="et-EE"/>
        </w:rPr>
        <w:t>Tel: (+372) 53016729</w:t>
      </w:r>
    </w:p>
    <w:p w:rsidR="004B3B5C" w:rsidRDefault="004B3B5C" w:rsidP="004B3B5C">
      <w:pPr>
        <w:rPr>
          <w:lang w:eastAsia="et-EE"/>
        </w:rPr>
      </w:pPr>
      <w:hyperlink r:id="rId11" w:history="1">
        <w:r>
          <w:rPr>
            <w:rStyle w:val="Hyperlink"/>
            <w:lang w:eastAsia="et-EE"/>
          </w:rPr>
          <w:t>ilona.horn@politsei.ee</w:t>
        </w:r>
      </w:hyperlink>
      <w:r>
        <w:rPr>
          <w:lang w:eastAsia="et-EE"/>
        </w:rPr>
        <w:t xml:space="preserve"> </w:t>
      </w:r>
    </w:p>
    <w:p w:rsidR="004B3B5C" w:rsidRDefault="004B3B5C" w:rsidP="004B3B5C">
      <w:pPr>
        <w:rPr>
          <w:lang w:eastAsia="et-EE"/>
        </w:rPr>
      </w:pPr>
      <w:r>
        <w:rPr>
          <w:noProof/>
          <w:color w:val="1F497D"/>
          <w:lang w:eastAsia="et-EE"/>
        </w:rPr>
        <w:drawing>
          <wp:inline distT="0" distB="0" distL="0" distR="0">
            <wp:extent cx="1231900" cy="927100"/>
            <wp:effectExtent l="0" t="0" r="6350" b="6350"/>
            <wp:docPr id="1" name="Picture 1" descr="cid:image001.png@01D5AF34.DAFEF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F34.DAFEF5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927100"/>
                    </a:xfrm>
                    <a:prstGeom prst="rect">
                      <a:avLst/>
                    </a:prstGeom>
                    <a:noFill/>
                    <a:ln>
                      <a:noFill/>
                    </a:ln>
                  </pic:spPr>
                </pic:pic>
              </a:graphicData>
            </a:graphic>
          </wp:inline>
        </w:drawing>
      </w:r>
    </w:p>
    <w:p w:rsidR="004B3B5C" w:rsidRDefault="004B3B5C" w:rsidP="004B3B5C"/>
    <w:p w:rsidR="004B3B5C" w:rsidRDefault="004B3B5C"/>
    <w:sectPr w:rsidR="004B3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5824"/>
    <w:multiLevelType w:val="hybridMultilevel"/>
    <w:tmpl w:val="4664B6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289401A1"/>
    <w:multiLevelType w:val="hybridMultilevel"/>
    <w:tmpl w:val="52C00E3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467658D7"/>
    <w:multiLevelType w:val="hybridMultilevel"/>
    <w:tmpl w:val="62246F7A"/>
    <w:lvl w:ilvl="0" w:tplc="E710EBCA">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36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4" w15:restartNumberingAfterBreak="0">
    <w:nsid w:val="665C1D96"/>
    <w:multiLevelType w:val="hybridMultilevel"/>
    <w:tmpl w:val="1472D2C2"/>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5C"/>
    <w:rsid w:val="004B3B5C"/>
    <w:rsid w:val="00CD0B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2B9E"/>
  <w15:chartTrackingRefBased/>
  <w15:docId w15:val="{16BA2DDB-D564-4A3B-B05E-954CCAB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5C"/>
    <w:pPr>
      <w:spacing w:after="0" w:line="240" w:lineRule="auto"/>
    </w:pPr>
    <w:rPr>
      <w:rFonts w:ascii="Calibri" w:hAnsi="Calibri" w:cs="Calibri"/>
    </w:rPr>
  </w:style>
  <w:style w:type="paragraph" w:styleId="Heading4">
    <w:name w:val="heading 4"/>
    <w:basedOn w:val="Normal"/>
    <w:link w:val="Heading4Char"/>
    <w:uiPriority w:val="9"/>
    <w:semiHidden/>
    <w:unhideWhenUsed/>
    <w:qFormat/>
    <w:rsid w:val="004B3B5C"/>
    <w:pPr>
      <w:keepNext/>
      <w:spacing w:before="40"/>
      <w:outlineLvl w:val="3"/>
    </w:pPr>
    <w:rPr>
      <w:rFonts w:ascii="Calibri Light" w:hAnsi="Calibri Light" w:cs="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B3B5C"/>
    <w:rPr>
      <w:rFonts w:ascii="Calibri Light" w:hAnsi="Calibri Light" w:cs="Calibri Light"/>
      <w:i/>
      <w:iCs/>
      <w:color w:val="2F5496"/>
    </w:rPr>
  </w:style>
  <w:style w:type="character" w:styleId="Hyperlink">
    <w:name w:val="Hyperlink"/>
    <w:basedOn w:val="DefaultParagraphFont"/>
    <w:uiPriority w:val="99"/>
    <w:semiHidden/>
    <w:unhideWhenUsed/>
    <w:rsid w:val="004B3B5C"/>
    <w:rPr>
      <w:color w:val="0563C1"/>
      <w:u w:val="single"/>
    </w:rPr>
  </w:style>
  <w:style w:type="paragraph" w:styleId="ListParagraph">
    <w:name w:val="List Paragraph"/>
    <w:basedOn w:val="Normal"/>
    <w:uiPriority w:val="34"/>
    <w:qFormat/>
    <w:rsid w:val="004B3B5C"/>
    <w:pPr>
      <w:ind w:left="720"/>
      <w:contextualSpacing/>
    </w:pPr>
  </w:style>
  <w:style w:type="paragraph" w:customStyle="1" w:styleId="Alapealkiri1">
    <w:name w:val="Alapealkiri 1"/>
    <w:basedOn w:val="Normal"/>
    <w:uiPriority w:val="99"/>
    <w:rsid w:val="004B3B5C"/>
    <w:pPr>
      <w:numPr>
        <w:numId w:val="1"/>
      </w:numPr>
      <w:ind w:left="720" w:firstLine="0"/>
      <w:contextualSpacing/>
      <w:jc w:val="both"/>
    </w:pPr>
    <w:rPr>
      <w:b/>
      <w:bCs/>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91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image" Target="cid:image005.png@01DA584A.A8FFEDE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emta.ee/saqu/public/taxdebt?lang=et" TargetMode="External"/><Relationship Id="rId11" Type="http://schemas.openxmlformats.org/officeDocument/2006/relationships/hyperlink" Target="mailto:ilona.horn@politsei.ee" TargetMode="External"/><Relationship Id="rId5" Type="http://schemas.openxmlformats.org/officeDocument/2006/relationships/hyperlink" Target="mailto:ilona.horn@politsei.ee" TargetMode="Externa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webSettings" Target="web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558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1</cp:revision>
  <dcterms:created xsi:type="dcterms:W3CDTF">2024-06-27T05:14:00Z</dcterms:created>
  <dcterms:modified xsi:type="dcterms:W3CDTF">2024-06-27T05:28:00Z</dcterms:modified>
</cp:coreProperties>
</file>